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46A99" w14:textId="300974F2" w:rsidR="002D38AA" w:rsidRPr="002D38AA" w:rsidRDefault="002D38AA" w:rsidP="002D38AA">
      <w:pPr>
        <w:jc w:val="center"/>
        <w:rPr>
          <w:b/>
          <w:bCs/>
        </w:rPr>
      </w:pPr>
      <w:r w:rsidRPr="002D38AA">
        <w:rPr>
          <w:b/>
          <w:bCs/>
        </w:rPr>
        <w:t>Objections to Vocational Experts (VEs)</w:t>
      </w:r>
    </w:p>
    <w:p w14:paraId="2CDA4740" w14:textId="77777777" w:rsidR="002D38AA" w:rsidRPr="002D38AA" w:rsidRDefault="002D38AA" w:rsidP="002D38AA">
      <w:pPr>
        <w:jc w:val="center"/>
        <w:rPr>
          <w:b/>
          <w:bCs/>
        </w:rPr>
      </w:pPr>
      <w:proofErr w:type="gramStart"/>
      <w:r w:rsidRPr="002D38AA">
        <w:rPr>
          <w:b/>
          <w:bCs/>
        </w:rPr>
        <w:t>by</w:t>
      </w:r>
      <w:proofErr w:type="gramEnd"/>
    </w:p>
    <w:p w14:paraId="4CEC29A8" w14:textId="77777777" w:rsidR="002D38AA" w:rsidRPr="002D38AA" w:rsidRDefault="002D38AA" w:rsidP="002D38AA">
      <w:pPr>
        <w:jc w:val="center"/>
        <w:rPr>
          <w:b/>
          <w:bCs/>
        </w:rPr>
      </w:pPr>
      <w:r w:rsidRPr="002D38AA">
        <w:rPr>
          <w:b/>
          <w:bCs/>
        </w:rPr>
        <w:t>Carol Avard, Esq., Avard Law Offices, P.A., Cape Coral, FL</w:t>
      </w:r>
    </w:p>
    <w:p w14:paraId="1B06EFD8" w14:textId="77777777" w:rsidR="002D38AA" w:rsidRPr="002D38AA" w:rsidRDefault="002D38AA" w:rsidP="002D38AA">
      <w:pPr>
        <w:jc w:val="center"/>
        <w:rPr>
          <w:b/>
          <w:bCs/>
        </w:rPr>
      </w:pPr>
    </w:p>
    <w:p w14:paraId="555C4E2B" w14:textId="57615348" w:rsidR="002D38AA" w:rsidRPr="002D38AA" w:rsidRDefault="002D38AA" w:rsidP="00A052CC">
      <w:r w:rsidRPr="002D38AA">
        <w:t>Many Courts hold that representatives who fail to object to the qualifications and testimony of vocational experts at the time of the hearing forfeit the opportunity to raise those objections in court. See</w:t>
      </w:r>
      <w:r w:rsidRPr="002D38AA">
        <w:rPr>
          <w:b/>
          <w:bCs/>
        </w:rPr>
        <w:t xml:space="preserve"> </w:t>
      </w:r>
      <w:hyperlink r:id="rId7" w:history="1">
        <w:proofErr w:type="spellStart"/>
        <w:r w:rsidRPr="002D38AA">
          <w:rPr>
            <w:rStyle w:val="Hyperlink"/>
          </w:rPr>
          <w:t>Nacif</w:t>
        </w:r>
        <w:proofErr w:type="spellEnd"/>
        <w:r w:rsidRPr="002D38AA">
          <w:rPr>
            <w:rStyle w:val="Hyperlink"/>
          </w:rPr>
          <w:t xml:space="preserve"> v. Bisignano, 2026 U.S. Dist. LEXIS 33127, 2026 LX 98973, 2026 WL 456755</w:t>
        </w:r>
      </w:hyperlink>
      <w:r w:rsidRPr="002D38AA">
        <w:t xml:space="preserve"> (M.D.</w:t>
      </w:r>
      <w:r w:rsidR="00A052CC">
        <w:t xml:space="preserve"> </w:t>
      </w:r>
      <w:r w:rsidRPr="002D38AA">
        <w:t>Fla</w:t>
      </w:r>
      <w:r w:rsidR="00A052CC">
        <w:t xml:space="preserve">. </w:t>
      </w:r>
      <w:r w:rsidRPr="002D38AA">
        <w:t xml:space="preserve">Feb. 18, 2026); </w:t>
      </w:r>
      <w:hyperlink r:id="rId8" w:history="1">
        <w:r w:rsidRPr="00E73092">
          <w:rPr>
            <w:rStyle w:val="Hyperlink"/>
          </w:rPr>
          <w:t xml:space="preserve">Donahue v. Barnhart, 279 F.3d 441, 2002 </w:t>
        </w:r>
        <w:proofErr w:type="spellStart"/>
        <w:r w:rsidRPr="00E73092">
          <w:rPr>
            <w:rStyle w:val="Hyperlink"/>
          </w:rPr>
          <w:t>U.S.App.LEXIS</w:t>
        </w:r>
        <w:proofErr w:type="spellEnd"/>
        <w:r w:rsidRPr="00E73092">
          <w:rPr>
            <w:rStyle w:val="Hyperlink"/>
          </w:rPr>
          <w:t xml:space="preserve"> 978</w:t>
        </w:r>
      </w:hyperlink>
      <w:r w:rsidRPr="002D38AA">
        <w:t xml:space="preserve"> (7</w:t>
      </w:r>
      <w:r w:rsidRPr="002D38AA">
        <w:rPr>
          <w:vertAlign w:val="superscript"/>
        </w:rPr>
        <w:t>th</w:t>
      </w:r>
      <w:r w:rsidRPr="002D38AA">
        <w:t xml:space="preserve"> Cir. 2002);</w:t>
      </w:r>
      <w:r w:rsidR="00194D35">
        <w:rPr>
          <w:rStyle w:val="FootnoteReference"/>
        </w:rPr>
        <w:footnoteReference w:id="1"/>
      </w:r>
      <w:r w:rsidRPr="002D38AA">
        <w:t xml:space="preserve">   </w:t>
      </w:r>
      <w:hyperlink r:id="rId9" w:history="1">
        <w:r w:rsidRPr="00440F8D">
          <w:rPr>
            <w:rStyle w:val="Hyperlink"/>
          </w:rPr>
          <w:t>Johnson v. Colvin, 2013 U.S. Dist. LEXIS 119376</w:t>
        </w:r>
      </w:hyperlink>
      <w:r w:rsidRPr="002D38AA">
        <w:t xml:space="preserve"> (W.D. Ark. Aug. 22, 2013), </w:t>
      </w:r>
      <w:hyperlink r:id="rId10" w:history="1">
        <w:r w:rsidRPr="008C620E">
          <w:rPr>
            <w:rStyle w:val="Hyperlink"/>
          </w:rPr>
          <w:t>Carroll v. Colvin, 2013 U.S. Dist. LEXIS 68462</w:t>
        </w:r>
      </w:hyperlink>
      <w:r w:rsidRPr="002D38AA">
        <w:t xml:space="preserve"> (C.D. Cal. 5/8/13), </w:t>
      </w:r>
      <w:hyperlink r:id="rId11" w:history="1">
        <w:r w:rsidRPr="002420A5">
          <w:rPr>
            <w:rStyle w:val="Hyperlink"/>
          </w:rPr>
          <w:t>Harvey v. Astrue, 5:05-CV-1094, 2008 U.S. Dist. LEXIS 75406</w:t>
        </w:r>
      </w:hyperlink>
      <w:r w:rsidRPr="002D38AA">
        <w:t xml:space="preserve">, 2008 WL 4517809, at *15 (N.D. N.Y. Sept. 29, 1008), </w:t>
      </w:r>
      <w:hyperlink r:id="rId12" w:history="1">
        <w:r w:rsidRPr="00120853">
          <w:rPr>
            <w:rStyle w:val="Hyperlink"/>
          </w:rPr>
          <w:t>Haskins v. Comm'r of 55, 5:05-CV-292,2008 U.S. Dist. LEXIS 95904</w:t>
        </w:r>
      </w:hyperlink>
      <w:r w:rsidRPr="002D38AA">
        <w:t xml:space="preserve"> (N.D. N.Y. 11/25/008), </w:t>
      </w:r>
      <w:hyperlink r:id="rId13" w:history="1">
        <w:r w:rsidRPr="00697F5A">
          <w:rPr>
            <w:rStyle w:val="Hyperlink"/>
          </w:rPr>
          <w:t>Ellis v. Colvin, 2014 U.S. Dist. LEXIS 66516</w:t>
        </w:r>
      </w:hyperlink>
      <w:r w:rsidRPr="002D38AA">
        <w:t xml:space="preserve"> (W.D. Va. May 15, 2014), </w:t>
      </w:r>
      <w:hyperlink r:id="rId14" w:history="1">
        <w:r w:rsidRPr="00D543BC">
          <w:rPr>
            <w:rStyle w:val="Hyperlink"/>
          </w:rPr>
          <w:t>Brault v. SSA, 2011 U.S. Dist. LEXIS 30990</w:t>
        </w:r>
      </w:hyperlink>
      <w:r w:rsidRPr="002D38AA">
        <w:t xml:space="preserve"> (D. Vt. Mar. 24, 2011).</w:t>
      </w:r>
    </w:p>
    <w:p w14:paraId="2C93EF0E" w14:textId="72A0297F" w:rsidR="002D38AA" w:rsidRPr="002D38AA" w:rsidRDefault="002D38AA" w:rsidP="00A052CC">
      <w:r w:rsidRPr="002D38AA">
        <w:t>Related to this subject is the issue of how to submit post hearing rebuttal evidence.  By checking off the objections that apply to a particular case (in the VE Objections Checklist), and submitting the checklist as a Memorandum, either prehearing, during hearing, or post hearing, waiver may be avoided.</w:t>
      </w:r>
    </w:p>
    <w:p w14:paraId="2FE4A99E" w14:textId="5EBD94E9" w:rsidR="002D38AA" w:rsidRPr="002D38AA" w:rsidRDefault="002D38AA" w:rsidP="00A052CC">
      <w:pPr>
        <w:rPr>
          <w:b/>
          <w:bCs/>
          <w:i/>
          <w:iCs/>
          <w:u w:val="single"/>
        </w:rPr>
      </w:pPr>
      <w:r w:rsidRPr="002D38AA">
        <w:rPr>
          <w:b/>
          <w:bCs/>
          <w:i/>
          <w:iCs/>
          <w:u w:val="single"/>
        </w:rPr>
        <w:t>Be familiar with the law concerning submission of post-hearing rebuttal evidence.</w:t>
      </w:r>
    </w:p>
    <w:p w14:paraId="51CD1207" w14:textId="77777777" w:rsidR="007F616F" w:rsidRDefault="002D38AA" w:rsidP="00526C9B">
      <w:pPr>
        <w:spacing w:line="240" w:lineRule="auto"/>
        <w:rPr>
          <w:b/>
          <w:bCs/>
        </w:rPr>
      </w:pPr>
      <w:hyperlink r:id="rId15" w:history="1">
        <w:r w:rsidRPr="00171300">
          <w:rPr>
            <w:rStyle w:val="Hyperlink"/>
          </w:rPr>
          <w:t>20 C.F.R. §404.935(b),</w:t>
        </w:r>
      </w:hyperlink>
      <w:r w:rsidRPr="002D38AA">
        <w:t xml:space="preserve"> </w:t>
      </w:r>
      <w:hyperlink r:id="rId16" w:history="1">
        <w:r w:rsidRPr="00372EFF">
          <w:rPr>
            <w:rStyle w:val="Hyperlink"/>
          </w:rPr>
          <w:t>§416.1435(b) </w:t>
        </w:r>
      </w:hyperlink>
      <w:r w:rsidRPr="002D38AA">
        <w:t>addresses waivers and submission of new evidence when the circumstances are beyond your control, i.e., unanticipated VE testimony in response to hypotheticals.  It is advisable to specifically request additional time to submit</w:t>
      </w:r>
      <w:r w:rsidR="00CB5E1A">
        <w:t xml:space="preserve"> post</w:t>
      </w:r>
      <w:r w:rsidR="00023DF0">
        <w:t xml:space="preserve"> </w:t>
      </w:r>
      <w:r w:rsidR="00CB5E1A">
        <w:t>hearing</w:t>
      </w:r>
      <w:r w:rsidR="00023DF0">
        <w:t xml:space="preserve"> </w:t>
      </w:r>
      <w:r w:rsidR="00CB5E1A" w:rsidRPr="002D38AA">
        <w:t>evidence.</w:t>
      </w:r>
      <w:r w:rsidR="00CB5E1A" w:rsidRPr="002D38AA">
        <w:rPr>
          <w:b/>
          <w:bCs/>
        </w:rPr>
        <w:t> </w:t>
      </w:r>
    </w:p>
    <w:p w14:paraId="61F85CC4" w14:textId="61AB6816" w:rsidR="002D38AA" w:rsidRPr="007F616F" w:rsidRDefault="007F616F" w:rsidP="00526C9B">
      <w:pPr>
        <w:spacing w:line="240" w:lineRule="auto"/>
        <w:rPr>
          <w:b/>
          <w:bCs/>
        </w:rPr>
      </w:pPr>
      <w:hyperlink r:id="rId17" w:history="1">
        <w:r w:rsidRPr="00180BC9">
          <w:rPr>
            <w:rStyle w:val="Hyperlink"/>
            <w:b/>
            <w:bCs/>
          </w:rPr>
          <w:t>https://secure.ssa.gov/apps10/poms.nsf/lnx/2501270020</w:t>
        </w:r>
      </w:hyperlink>
      <w:r w:rsidR="00CB5E1A" w:rsidRPr="002D38AA">
        <w:rPr>
          <w:b/>
          <w:bCs/>
        </w:rPr>
        <w:t xml:space="preserve">.    </w:t>
      </w:r>
      <w:r w:rsidR="00CB5E1A" w:rsidRPr="002D38AA">
        <w:t>Applicable case law  includes</w:t>
      </w:r>
      <w:r w:rsidR="00CB5E1A" w:rsidRPr="002D38AA">
        <w:rPr>
          <w:b/>
          <w:bCs/>
        </w:rPr>
        <w:t xml:space="preserve">:  </w:t>
      </w:r>
      <w:r w:rsidR="00CB5E1A" w:rsidRPr="002D38AA">
        <w:t xml:space="preserve">See </w:t>
      </w:r>
      <w:hyperlink r:id="rId18" w:history="1">
        <w:proofErr w:type="spellStart"/>
        <w:r w:rsidR="00CB5E1A" w:rsidRPr="002D38AA">
          <w:rPr>
            <w:rStyle w:val="Hyperlink"/>
          </w:rPr>
          <w:t>Nacif</w:t>
        </w:r>
        <w:proofErr w:type="spellEnd"/>
        <w:r w:rsidR="00CB5E1A" w:rsidRPr="002D38AA">
          <w:rPr>
            <w:rStyle w:val="Hyperlink"/>
          </w:rPr>
          <w:t xml:space="preserve"> v. Bisignano, 2026 U.S. Dist. LEXIS 33127, 2026 LX 98973, 2026 WL 456755</w:t>
        </w:r>
      </w:hyperlink>
      <w:r w:rsidR="00CB5E1A" w:rsidRPr="002D38AA">
        <w:t xml:space="preserve"> (</w:t>
      </w:r>
      <w:proofErr w:type="spellStart"/>
      <w:r w:rsidR="00CB5E1A" w:rsidRPr="002D38AA">
        <w:t>M.D.Fla</w:t>
      </w:r>
      <w:proofErr w:type="spellEnd"/>
      <w:r w:rsidR="00CB5E1A" w:rsidRPr="002D38AA">
        <w:t xml:space="preserve">, Feb. 18, 2026); </w:t>
      </w:r>
      <w:hyperlink r:id="rId19" w:history="1">
        <w:r w:rsidR="00CB5E1A" w:rsidRPr="002D38AA">
          <w:rPr>
            <w:rStyle w:val="Hyperlink"/>
            <w:i/>
            <w:iCs/>
          </w:rPr>
          <w:t>Roth v. Comm'r of Soc. Sec.,</w:t>
        </w:r>
        <w:r w:rsidR="00CB5E1A" w:rsidRPr="002D38AA">
          <w:rPr>
            <w:rStyle w:val="Hyperlink"/>
          </w:rPr>
          <w:t xml:space="preserve"> No. 6:20-cv-550-MRM, </w:t>
        </w:r>
        <w:r w:rsidR="00CB5E1A" w:rsidRPr="002D38AA">
          <w:rPr>
            <w:rStyle w:val="Hyperlink"/>
          </w:rPr>
          <w:lastRenderedPageBreak/>
          <w:t xml:space="preserve">2021 U.S. Dist. LEXIS 184125 (M.D. Fla. Sep. 27, 2021) </w:t>
        </w:r>
      </w:hyperlink>
      <w:r w:rsidR="00CB5E1A">
        <w:t xml:space="preserve"> </w:t>
      </w:r>
      <w:r w:rsidR="002D38AA" w:rsidRPr="002D38AA">
        <w:t xml:space="preserve">both cases hold among other things that:   After the hearing, a claimant may object to testimony given at the hearing and submit rebuttal evidence if either the claimant's limitations or "unusual, unexpected, or unavoidable" circumstances prevented the claimant from submitting the evidence before the hearing. </w:t>
      </w:r>
      <w:hyperlink r:id="rId20" w:history="1">
        <w:r w:rsidR="002D38AA" w:rsidRPr="002D38AA">
          <w:rPr>
            <w:rStyle w:val="Hyperlink"/>
          </w:rPr>
          <w:t>20 C.F.R. §§ 404.935(b)</w:t>
        </w:r>
      </w:hyperlink>
      <w:r w:rsidR="002D38AA" w:rsidRPr="002D38AA">
        <w:t xml:space="preserve">, </w:t>
      </w:r>
      <w:hyperlink r:id="rId21" w:history="1">
        <w:r w:rsidR="002D38AA" w:rsidRPr="002D38AA">
          <w:rPr>
            <w:rStyle w:val="Hyperlink"/>
          </w:rPr>
          <w:t>416.1435(b)</w:t>
        </w:r>
      </w:hyperlink>
      <w:r w:rsidR="002D38AA" w:rsidRPr="002D38AA">
        <w:t xml:space="preserve">. If the claimant properly submits post-hearing evidence and the evidence is relevant to his limitations, the ALJ must consider it. See </w:t>
      </w:r>
      <w:hyperlink r:id="rId22" w:history="1">
        <w:r w:rsidR="002D38AA" w:rsidRPr="002D38AA">
          <w:rPr>
            <w:rStyle w:val="Hyperlink"/>
          </w:rPr>
          <w:t>20 C.F.R. §§ 404.1545(a)(1)</w:t>
        </w:r>
      </w:hyperlink>
      <w:r w:rsidR="002D38AA" w:rsidRPr="002D38AA">
        <w:t xml:space="preserve">, </w:t>
      </w:r>
      <w:hyperlink r:id="rId23" w:history="1">
        <w:r w:rsidR="002D38AA" w:rsidRPr="002D38AA">
          <w:rPr>
            <w:rStyle w:val="Hyperlink"/>
          </w:rPr>
          <w:t>416.945(a)(1)</w:t>
        </w:r>
      </w:hyperlink>
      <w:r w:rsidR="002D38AA" w:rsidRPr="002D38AA">
        <w:t xml:space="preserve">.  These cases are buttressed by </w:t>
      </w:r>
      <w:proofErr w:type="gramStart"/>
      <w:r w:rsidR="002D38AA" w:rsidRPr="002D38AA">
        <w:t>the  Social</w:t>
      </w:r>
      <w:proofErr w:type="gramEnd"/>
      <w:r w:rsidR="002D38AA" w:rsidRPr="002D38AA">
        <w:t xml:space="preserve"> Security Ruling 96-9p.</w:t>
      </w:r>
    </w:p>
    <w:p w14:paraId="100BBE39" w14:textId="3FEBE204" w:rsidR="002D38AA" w:rsidRPr="002D38AA" w:rsidRDefault="002D38AA" w:rsidP="00A052CC">
      <w:hyperlink r:id="rId24" w:history="1">
        <w:r w:rsidRPr="002D38AA">
          <w:rPr>
            <w:rStyle w:val="Hyperlink"/>
          </w:rPr>
          <w:t>SSR 96-9p, 1996 SSR LEXIS 6</w:t>
        </w:r>
      </w:hyperlink>
      <w:r w:rsidRPr="002D38AA">
        <w:t xml:space="preserve"> provides, inter alia, "[w]</w:t>
      </w:r>
      <w:proofErr w:type="spellStart"/>
      <w:r w:rsidRPr="002D38AA">
        <w:t>henever</w:t>
      </w:r>
      <w:proofErr w:type="spellEnd"/>
      <w:r w:rsidRPr="002D38AA">
        <w:t xml:space="preserve"> a VE</w:t>
      </w:r>
      <w:hyperlink r:id="rId25" w:history="1">
        <w:r w:rsidRPr="002D38AA">
          <w:rPr>
            <w:rStyle w:val="Hyperlink"/>
          </w:rPr>
          <w:t> [*21] </w:t>
        </w:r>
      </w:hyperlink>
      <w:r w:rsidRPr="002D38AA">
        <w:t xml:space="preserve"> is used, the [claimant] has the right to review and respond to the VE evidence prior to the issuance of a decision. The VE's opinion is not binding on an </w:t>
      </w:r>
      <w:proofErr w:type="gramStart"/>
      <w:r w:rsidRPr="002D38AA">
        <w:t>[ALJ], but</w:t>
      </w:r>
      <w:proofErr w:type="gramEnd"/>
      <w:r w:rsidRPr="002D38AA">
        <w:t xml:space="preserve"> must be weighed along with all other evidence.".</w:t>
      </w:r>
    </w:p>
    <w:p w14:paraId="2D8D3D37" w14:textId="6A218691" w:rsidR="002D38AA" w:rsidRPr="002D38AA" w:rsidRDefault="002D38AA" w:rsidP="00A052CC">
      <w:proofErr w:type="spellStart"/>
      <w:r w:rsidRPr="002D38AA">
        <w:rPr>
          <w:i/>
          <w:iCs/>
        </w:rPr>
        <w:t>Nacif’s</w:t>
      </w:r>
      <w:proofErr w:type="spellEnd"/>
      <w:r w:rsidRPr="002D38AA">
        <w:rPr>
          <w:i/>
          <w:iCs/>
        </w:rPr>
        <w:t xml:space="preserve"> </w:t>
      </w:r>
      <w:r w:rsidRPr="002D38AA">
        <w:t xml:space="preserve">Post-Hearing Memorandum challenged the VE testimony about the numbers of jobs available. It was submitted prior to the decision. The ALJ exhibited the Memo but never considered the statistics in the memo. The court held SSR 96-9p permits submission of rebuttal evidence since the claimant has no clue what the VE will testify to until the end of the hearing, and therefore the ALJ had to consider the evidence. </w:t>
      </w:r>
      <w:r w:rsidRPr="002D38AA">
        <w:rPr>
          <w:i/>
          <w:iCs/>
        </w:rPr>
        <w:t> Roth’s</w:t>
      </w:r>
      <w:r w:rsidRPr="002D38AA">
        <w:t xml:space="preserve"> Post-Hearing Memorandum seeks to undermine </w:t>
      </w:r>
      <w:proofErr w:type="gramStart"/>
      <w:r w:rsidRPr="002D38AA">
        <w:t>the VE's</w:t>
      </w:r>
      <w:proofErr w:type="gramEnd"/>
      <w:r w:rsidRPr="002D38AA">
        <w:t xml:space="preserve"> testimony regarding job numbers by presenting evidence and data from the</w:t>
      </w:r>
      <w:r w:rsidRPr="002D38AA">
        <w:rPr>
          <w:b/>
          <w:bCs/>
        </w:rPr>
        <w:t xml:space="preserve"> ORS</w:t>
      </w:r>
      <w:r w:rsidRPr="002D38AA">
        <w:t xml:space="preserve"> showing that Plaintiff cannot perform </w:t>
      </w:r>
      <w:proofErr w:type="gramStart"/>
      <w:r w:rsidRPr="002D38AA">
        <w:t>a majority of</w:t>
      </w:r>
      <w:proofErr w:type="gramEnd"/>
      <w:r w:rsidRPr="002D38AA">
        <w:t xml:space="preserve"> the short order cook jobs that ALJ found Plaintiff could perform. (See Tr. at 75, 103-06, 426-28). Upon review of the record, the Court notes that the ALJ failed to include this memorandum as an exhibit in the record, let alone discuss or analyze it. While the ALJ is permitted to rely on the DOT and VE testimony to support her decision, she is also required to, at minimum, consider post-hearing evidence properly submitted by the plaintiff. See </w:t>
      </w:r>
      <w:hyperlink r:id="rId26" w:history="1">
        <w:r w:rsidRPr="002D38AA">
          <w:rPr>
            <w:rStyle w:val="Hyperlink"/>
          </w:rPr>
          <w:t>20 C.F.R. §§ 404.1545(a)(1)</w:t>
        </w:r>
      </w:hyperlink>
      <w:r w:rsidRPr="002D38AA">
        <w:t xml:space="preserve">, </w:t>
      </w:r>
      <w:hyperlink r:id="rId27" w:history="1">
        <w:r w:rsidRPr="002D38AA">
          <w:rPr>
            <w:rStyle w:val="Hyperlink"/>
          </w:rPr>
          <w:t>416.945(a)(1)</w:t>
        </w:r>
      </w:hyperlink>
      <w:r w:rsidRPr="002D38AA">
        <w:t xml:space="preserve">; see also </w:t>
      </w:r>
      <w:hyperlink r:id="rId28" w:history="1">
        <w:r w:rsidRPr="002D38AA">
          <w:rPr>
            <w:rStyle w:val="Hyperlink"/>
          </w:rPr>
          <w:t>SSR 96-9p, 1996 SSR LEXIS 6, *27, 1996 WL 374185, at *9 n.8</w:t>
        </w:r>
      </w:hyperlink>
      <w:r w:rsidRPr="002D38AA">
        <w:t xml:space="preserve">; </w:t>
      </w:r>
      <w:hyperlink r:id="rId29" w:history="1">
        <w:r w:rsidRPr="002D38AA">
          <w:rPr>
            <w:rStyle w:val="Hyperlink"/>
          </w:rPr>
          <w:t>HALLEX I-2-6-74</w:t>
        </w:r>
      </w:hyperlink>
      <w:r w:rsidRPr="002D38AA">
        <w:t xml:space="preserve">, Testimony of a Vocational Expert, Social Security Administration, </w:t>
      </w:r>
      <w:hyperlink r:id="rId30" w:history="1">
        <w:r w:rsidRPr="0076257D">
          <w:rPr>
            <w:rStyle w:val="Hyperlink"/>
          </w:rPr>
          <w:t>https://www.ssa.gov/OP_Home/hallex/I-02/I-2-6-74.html</w:t>
        </w:r>
      </w:hyperlink>
      <w:r w:rsidRPr="002D38AA">
        <w:t xml:space="preserve"> (last updated June 6, 2016).The Court finds</w:t>
      </w:r>
      <w:hyperlink r:id="rId31" w:history="1">
        <w:r w:rsidRPr="002D38AA">
          <w:rPr>
            <w:rStyle w:val="Hyperlink"/>
          </w:rPr>
          <w:t> [*22] </w:t>
        </w:r>
      </w:hyperlink>
      <w:r w:rsidRPr="002D38AA">
        <w:t xml:space="preserve"> that Plaintiff's Post-Hearing Memorandum was timely submitted and the ALJ, therefore, was required to consider its evidence. While a claimant is generally required to submit evidence at least 5 days before the hearing, </w:t>
      </w:r>
      <w:hyperlink r:id="rId32" w:history="1">
        <w:r w:rsidRPr="002D38AA">
          <w:rPr>
            <w:rStyle w:val="Hyperlink"/>
          </w:rPr>
          <w:t>20 C.F.R. §§ 404.935(b)(3)</w:t>
        </w:r>
      </w:hyperlink>
      <w:r w:rsidRPr="002D38AA">
        <w:t xml:space="preserve">, </w:t>
      </w:r>
      <w:hyperlink r:id="rId33" w:history="1">
        <w:r w:rsidRPr="002D38AA">
          <w:rPr>
            <w:rStyle w:val="Hyperlink"/>
          </w:rPr>
          <w:t>416.1435(b)(3)</w:t>
        </w:r>
      </w:hyperlink>
      <w:r w:rsidRPr="002D38AA">
        <w:t xml:space="preserve"> provide an exception to this 5-Day Rule. See </w:t>
      </w:r>
      <w:hyperlink r:id="rId34" w:history="1">
        <w:r w:rsidRPr="002D38AA">
          <w:rPr>
            <w:rStyle w:val="Hyperlink"/>
          </w:rPr>
          <w:t>20 C.F.R. §§ 404.935(b)(3)</w:t>
        </w:r>
      </w:hyperlink>
      <w:r w:rsidRPr="002D38AA">
        <w:t>,</w:t>
      </w:r>
      <w:hyperlink r:id="rId35" w:history="1">
        <w:r w:rsidRPr="00487DC0">
          <w:rPr>
            <w:rStyle w:val="Hyperlink"/>
          </w:rPr>
          <w:t xml:space="preserve"> 416.1435(b)(3)</w:t>
        </w:r>
      </w:hyperlink>
      <w:r w:rsidRPr="002D38AA">
        <w:t xml:space="preserve"> ("If you have evidence . . . but you have missed the deadline [to submit it] . . . the [ALJ] will accept [it] if . . . she has not yet issued a decision and you did not . . . submit the evidence before the deadline because . . . [some] unusual, unexpected, or unavoidable circumstance beyond your control prevented you from . . . submitting the evidence earlier."). Moreover, this Court has previously found that evidence rebutting the VE's testimony, like the evidence here, satisfies </w:t>
      </w:r>
      <w:hyperlink r:id="rId36" w:history="1">
        <w:r w:rsidRPr="002D38AA">
          <w:rPr>
            <w:rStyle w:val="Hyperlink"/>
          </w:rPr>
          <w:t>§ 416.1435(b)(3)</w:t>
        </w:r>
      </w:hyperlink>
      <w:r w:rsidRPr="002D38AA">
        <w:t xml:space="preserve"> because a claimant cannot reasonably predict the VE's testimony. </w:t>
      </w:r>
      <w:hyperlink r:id="rId37" w:history="1">
        <w:r w:rsidRPr="002D38AA">
          <w:rPr>
            <w:rStyle w:val="Hyperlink"/>
          </w:rPr>
          <w:t>McDaniel v. Saul, No. 3:19-cv-1230-JRK, 2021 U.S. Dist. LEXIS 57998, 2021 WL 1153198, at *4 (M.D. Fla. Mar. 26, 2021)</w:t>
        </w:r>
      </w:hyperlink>
      <w:r w:rsidRPr="002D38AA">
        <w:t xml:space="preserve"> (collecting cases). Thus, because Plaintiff's Post-Hearing Memorandum was properly submitted to the ALJ, the ALJ was required to consider its evidence. See </w:t>
      </w:r>
      <w:hyperlink r:id="rId38" w:history="1">
        <w:r w:rsidRPr="002D38AA">
          <w:rPr>
            <w:rStyle w:val="Hyperlink"/>
          </w:rPr>
          <w:t>20 C.F.R. §§ 404.1545(a)(1)</w:t>
        </w:r>
      </w:hyperlink>
      <w:r w:rsidRPr="002D38AA">
        <w:t xml:space="preserve">, </w:t>
      </w:r>
      <w:hyperlink r:id="rId39" w:history="1">
        <w:r w:rsidRPr="002D38AA">
          <w:rPr>
            <w:rStyle w:val="Hyperlink"/>
          </w:rPr>
          <w:t>416.945(a)(1)</w:t>
        </w:r>
      </w:hyperlink>
      <w:r w:rsidRPr="002D38AA">
        <w:t>.</w:t>
      </w:r>
    </w:p>
    <w:p w14:paraId="1E723CC7" w14:textId="0CFE5CAC" w:rsidR="002D38AA" w:rsidRPr="002D38AA" w:rsidRDefault="002D38AA" w:rsidP="00A052CC">
      <w:r w:rsidRPr="002D38AA">
        <w:t>During the Hearing, Plaintiff's counsel requested two weeks to submit a post-hearing brief on the VE's testimony, and the ALJ responded, "if you submit a post-hearing brief by the time</w:t>
      </w:r>
      <w:hyperlink r:id="rId40" w:history="1">
        <w:r w:rsidRPr="002D38AA">
          <w:rPr>
            <w:rStyle w:val="Hyperlink"/>
          </w:rPr>
          <w:t> [*23] </w:t>
        </w:r>
      </w:hyperlink>
      <w:r w:rsidRPr="002D38AA">
        <w:t xml:space="preserve"> I issue a decision, I will take it into account." (Tr. at 113-14). Despite the ALJ's assertion, there is no evidence in the record that the ALJ consider</w:t>
      </w:r>
      <w:r w:rsidR="007F616F">
        <w:t>ed</w:t>
      </w:r>
      <w:r w:rsidRPr="002D38AA">
        <w:t xml:space="preserve"> Plaintiff's properly submitted Post-Hearing Memorandum. The ALJ did not refer to the brief in her </w:t>
      </w:r>
      <w:proofErr w:type="gramStart"/>
      <w:r w:rsidRPr="002D38AA">
        <w:t>decision</w:t>
      </w:r>
      <w:proofErr w:type="gramEnd"/>
      <w:r w:rsidRPr="002D38AA">
        <w:t xml:space="preserve"> and it was not included in the record. In fact, Plaintiff's Post-Hearing Memorandum only appears in the record because it was attached as an exhibit to Plaintiff's appeal to the Appeals Council. (See Tr. at 418-28). Because the Post-Hearing Memorandum was entirely absent from the record before the ALJ, despite being properly submitted, the Court cannot find that the ALJ considered it. See </w:t>
      </w:r>
      <w:hyperlink r:id="rId41" w:history="1">
        <w:r w:rsidRPr="002D38AA">
          <w:rPr>
            <w:rStyle w:val="Hyperlink"/>
          </w:rPr>
          <w:t>Simmons v. Comm'r of Soc. Sec., No. 5:16-cv-20-Oc-PRL, 2017 U.S. Dist. LEXIS 6723, 2017 WL 192369, at *2 (M.D. Fla. Jan. 18, 2017)</w:t>
        </w:r>
      </w:hyperlink>
      <w:r w:rsidRPr="002D38AA">
        <w:t xml:space="preserve"> (finding that the ALJ erred when he failed to consider or discuss post-hearing evidence that was received six days before the ALJ issued his decision).</w:t>
      </w:r>
    </w:p>
    <w:p w14:paraId="1F9250F2" w14:textId="32F0999F" w:rsidR="002D38AA" w:rsidRPr="002D38AA" w:rsidRDefault="002D38AA" w:rsidP="00A052CC">
      <w:r w:rsidRPr="002D38AA">
        <w:t>Moreover, the Court finds that the ALJ's failure to consider Plaintiff's Post-Hearing Memorandum resulted in clear prejudice to Plaintiff. The evidence contained within Plaintiff's Post-Hearing Brief calls the VE's testimony into question, and while the ALJ was not required to afford Plaintiff's evidence substantial weight, she was required to</w:t>
      </w:r>
      <w:hyperlink r:id="rId42" w:history="1">
        <w:r w:rsidRPr="002D38AA">
          <w:rPr>
            <w:rStyle w:val="Hyperlink"/>
          </w:rPr>
          <w:t> [*24] </w:t>
        </w:r>
      </w:hyperlink>
      <w:r w:rsidRPr="002D38AA">
        <w:t xml:space="preserve"> consider it. </w:t>
      </w:r>
      <w:hyperlink r:id="rId43" w:history="1">
        <w:r w:rsidRPr="002D38AA">
          <w:rPr>
            <w:rStyle w:val="Hyperlink"/>
          </w:rPr>
          <w:t>Kelley v. Heckler, 761 F.2d 1538, 1540 (11th Cir. 1985)</w:t>
        </w:r>
      </w:hyperlink>
      <w:r w:rsidRPr="002D38AA">
        <w:t xml:space="preserve"> (holding that prejudice is shown when "the ALJ did not consider all of the evidence in the record in reaching [her] decision."). Where, as here, the record is devoid of any indication that the ALJ considered Plaintiff's properly submitted evidence, thus resulting in an evidentiary gap in the record, prejudice has been shown. See id.</w:t>
      </w:r>
    </w:p>
    <w:p w14:paraId="4B3825A9" w14:textId="423B3A05" w:rsidR="002D38AA" w:rsidRPr="002D38AA" w:rsidRDefault="002D38AA" w:rsidP="00A052CC">
      <w:r w:rsidRPr="002D38AA">
        <w:t xml:space="preserve">Accordingly, the Court finds that the ALJ committed a reversible error when she failed to consider and discuss the rebuttal evidence presented by Plaintiff's Post-Hearing Memorandum. See </w:t>
      </w:r>
      <w:hyperlink r:id="rId44" w:history="1">
        <w:r w:rsidRPr="002D38AA">
          <w:rPr>
            <w:rStyle w:val="Hyperlink"/>
          </w:rPr>
          <w:t>Simmons, 2017 U.S. Dist. LEXIS 6723, 2017 WL 192369, at *2</w:t>
        </w:r>
      </w:hyperlink>
      <w:r w:rsidRPr="002D38AA">
        <w:t xml:space="preserve"> (finding remand necessary where the ALJ failed to discuss post-hearing evidence and declining to improperly re-weigh the evidence by assessing the persuasiveness of the plaintiff's post-hearing evidence); </w:t>
      </w:r>
      <w:hyperlink r:id="rId45" w:history="1">
        <w:r w:rsidRPr="002D38AA">
          <w:rPr>
            <w:rStyle w:val="Hyperlink"/>
          </w:rPr>
          <w:t>McDaniel v. Saul, 2021 U.S. Dist. LEXIS 57998, 2021 WL 1153198, at *4</w:t>
        </w:r>
      </w:hyperlink>
      <w:r w:rsidRPr="002D38AA">
        <w:t xml:space="preserve"> ("The ALJ's failure to consider the [post-hearing evidence] is not harmless error because [the evidence] directly conflict[s] with the VE's testimony."); </w:t>
      </w:r>
      <w:hyperlink r:id="rId46" w:history="1">
        <w:r w:rsidRPr="002D38AA">
          <w:rPr>
            <w:rStyle w:val="Hyperlink"/>
          </w:rPr>
          <w:t>Sams v. Berryhill, No. 1:17-cv-15-CAS, 2017 U.S. Dist. LEXIS 145424, 2017 WL 3974239, at *8 (N.D. Fla. Sept. 8, 2017)</w:t>
        </w:r>
      </w:hyperlink>
      <w:r w:rsidRPr="002D38AA">
        <w:t xml:space="preserve"> ("[W]here the reliability of the testimony concerning the DOT job descriptions . . . and the reliability of evidence that these jobs exist in significant numbers in the current national economy, has been shown to be questionable, the ALJ should have ruled in the decision</w:t>
      </w:r>
      <w:hyperlink r:id="rId47" w:history="1">
        <w:r w:rsidRPr="002D38AA">
          <w:rPr>
            <w:rStyle w:val="Hyperlink"/>
          </w:rPr>
          <w:t> [*25] </w:t>
        </w:r>
      </w:hyperlink>
      <w:r w:rsidRPr="002D38AA">
        <w:t xml:space="preserve"> in narrative fashion on the [post-hearing] objections filed by Plaintiff."); </w:t>
      </w:r>
      <w:hyperlink r:id="rId48" w:history="1">
        <w:r w:rsidRPr="002D38AA">
          <w:rPr>
            <w:rStyle w:val="Hyperlink"/>
          </w:rPr>
          <w:t>Prince v. Berryhill, No. 17-61255-CIV, 2018 U.S. Dist. LEXIS 104912, 2018 WL 11346752, at *4 (S.D. Fla. June 21, 2018)</w:t>
        </w:r>
      </w:hyperlink>
      <w:r w:rsidRPr="002D38AA">
        <w:t xml:space="preserve"> (concluding that remand is required where the ALJ's discussion of post-hearing evidence rebutting the VE's findings "was limited to procedural discussions [and] there was no substantive discussion"). In sum, the Court finds that the ALJ's failure to specifically address the rebuttal evidence within Plaintiff's Post-Hearing Memorandum constitutes reversible error.</w:t>
      </w:r>
    </w:p>
    <w:p w14:paraId="4409A4C1" w14:textId="08D7B0C6" w:rsidR="002D38AA" w:rsidRPr="002D38AA" w:rsidRDefault="002D38AA" w:rsidP="00A052CC">
      <w:pPr>
        <w:rPr>
          <w:b/>
          <w:bCs/>
        </w:rPr>
      </w:pPr>
      <w:r w:rsidRPr="002D38AA">
        <w:rPr>
          <w:i/>
          <w:iCs/>
        </w:rPr>
        <w:t xml:space="preserve">See also </w:t>
      </w:r>
      <w:hyperlink r:id="rId49" w:history="1">
        <w:r w:rsidRPr="00A67831">
          <w:rPr>
            <w:rStyle w:val="Hyperlink"/>
            <w:i/>
            <w:iCs/>
          </w:rPr>
          <w:t>Hamilton v. Berryhill,</w:t>
        </w:r>
        <w:r w:rsidRPr="00A67831">
          <w:rPr>
            <w:rStyle w:val="Hyperlink"/>
          </w:rPr>
          <w:t xml:space="preserve"> 2018 </w:t>
        </w:r>
        <w:proofErr w:type="spellStart"/>
        <w:r w:rsidRPr="00A67831">
          <w:rPr>
            <w:rStyle w:val="Hyperlink"/>
          </w:rPr>
          <w:t>U.S.Dist.LEXIS</w:t>
        </w:r>
        <w:proofErr w:type="spellEnd"/>
        <w:r w:rsidRPr="00A67831">
          <w:rPr>
            <w:rStyle w:val="Hyperlink"/>
          </w:rPr>
          <w:t xml:space="preserve"> 83722</w:t>
        </w:r>
      </w:hyperlink>
      <w:r w:rsidRPr="002D38AA">
        <w:t xml:space="preserve"> (W.D. Ky. May 17, 2018) acknowledging that research would be needed to respond to VE job identification at the time of the  hearing, and without  post hearing evidence it would place an unreasonable burden on Plaintiff’s counsel as it is unrealistic to expect counsel to conduct research during the hearing in order to refine VE testimony through cross-exam. See </w:t>
      </w:r>
      <w:hyperlink r:id="rId50" w:history="1">
        <w:r w:rsidRPr="002D38AA">
          <w:rPr>
            <w:rStyle w:val="Hyperlink"/>
          </w:rPr>
          <w:t>Westmoreland v. Berryhill, No. 3:17-cv-00096, 2018 U.S. Dist. LEXIS 52032, 2018 WL 1522118, at *3 (S.D. Ohio Mar. 28, 2018)</w:t>
        </w:r>
      </w:hyperlink>
      <w:r w:rsidRPr="002D38AA">
        <w:t xml:space="preserve"> (the plaintiff did not waive vocational argument raised in a post-hearing brief submitted before the ALJ issued her decision); </w:t>
      </w:r>
      <w:hyperlink r:id="rId51" w:history="1">
        <w:r w:rsidRPr="002D38AA">
          <w:rPr>
            <w:rStyle w:val="Hyperlink"/>
          </w:rPr>
          <w:t>Burton v. Berryhill, No. 3:18-cv-56, 2019 U.S. Dist. LEXIS 63075, 2019 WL 1585116, at *6-7 (W.D. Ky. April 12, 2019)</w:t>
        </w:r>
      </w:hyperlink>
      <w:r w:rsidRPr="002D38AA">
        <w:t xml:space="preserve"> (discussing seven cases in the Western District of Kentucky holding that vocational objections were not waived, though not addressed at the administrative hearing, because it would be impractical and unreasonable to require such objections) ("[D]</w:t>
      </w:r>
      <w:proofErr w:type="spellStart"/>
      <w:r w:rsidRPr="002D38AA">
        <w:t>ue</w:t>
      </w:r>
      <w:proofErr w:type="spellEnd"/>
      <w:r w:rsidRPr="002D38AA">
        <w:t xml:space="preserve"> to the thousands of vocational descriptions in the DOT and the lack of prior notice regarding which three would be identified during the hearing—the plaintiffs in</w:t>
      </w:r>
      <w:hyperlink r:id="rId52" w:history="1">
        <w:r w:rsidRPr="002D38AA">
          <w:rPr>
            <w:rStyle w:val="Hyperlink"/>
          </w:rPr>
          <w:t> [*23] </w:t>
        </w:r>
      </w:hyperlink>
      <w:r w:rsidRPr="002D38AA">
        <w:t xml:space="preserve"> these seven cases would not have been familiar enough with the information to effectively cross-examine the vocational expert about obsolescence of the DOT descriptions 'on the fly.'").</w:t>
      </w:r>
    </w:p>
    <w:p w14:paraId="0FE61279" w14:textId="7DA9DA50" w:rsidR="002D38AA" w:rsidRPr="002D38AA" w:rsidRDefault="002D38AA" w:rsidP="00A052CC">
      <w:r w:rsidRPr="002D38AA">
        <w:t xml:space="preserve">Representatives should consider obtaining a VE opinion on claimant’s post-hearing evidence. </w:t>
      </w:r>
      <w:r w:rsidRPr="002D38AA">
        <w:rPr>
          <w:b/>
          <w:bCs/>
        </w:rPr>
        <w:t> </w:t>
      </w:r>
      <w:r w:rsidRPr="002D38AA">
        <w:t>This is</w:t>
      </w:r>
      <w:r w:rsidRPr="002D38AA">
        <w:rPr>
          <w:b/>
          <w:bCs/>
        </w:rPr>
        <w:t xml:space="preserve"> </w:t>
      </w:r>
      <w:r w:rsidRPr="002D38AA">
        <w:t xml:space="preserve">important in those jurisdictions where they   consider evidence submitted by Attorneys or Reps as “LAY OPINION EVIDENCE” which when compared to Vocational Expert evidence, is trumped by the VE opinion.  A claimant’s VE should be asked if </w:t>
      </w:r>
      <w:r w:rsidR="00D74DEB">
        <w:t>he or she</w:t>
      </w:r>
      <w:r w:rsidRPr="002D38AA">
        <w:t xml:space="preserve"> </w:t>
      </w:r>
      <w:proofErr w:type="gramStart"/>
      <w:r w:rsidRPr="002D38AA">
        <w:t>concur</w:t>
      </w:r>
      <w:proofErr w:type="gramEnd"/>
      <w:r w:rsidRPr="002D38AA">
        <w:t xml:space="preserve"> with any objections made by counsel as well as post-hearing briefs.  Claimant’s VE CV should be attached.   If interrogatories are used by the ALJ, consider objecting to written interrogatories if the opinions are not provided under oath, or significantly delay the disposition of a case.  Finally, Attorneys or Reps should request a supplemental hearing to cross-examine, in person, the expert on the answers to interrogatories</w:t>
      </w:r>
      <w:r w:rsidRPr="002D38AA">
        <w:rPr>
          <w:b/>
          <w:bCs/>
        </w:rPr>
        <w:t>.</w:t>
      </w:r>
      <w:r w:rsidRPr="002D38AA">
        <w:t xml:space="preserve"> (See HALLEX </w:t>
      </w:r>
      <w:hyperlink r:id="rId53" w:history="1">
        <w:r w:rsidRPr="002D38AA">
          <w:rPr>
            <w:rStyle w:val="Hyperlink"/>
          </w:rPr>
          <w:t>HA 01250.057</w:t>
        </w:r>
      </w:hyperlink>
      <w:r w:rsidRPr="002D38AA">
        <w:t xml:space="preserve">), or hold a supplemental hearing (HALLEX </w:t>
      </w:r>
      <w:hyperlink r:id="rId54" w:history="1">
        <w:r w:rsidRPr="002D38AA">
          <w:rPr>
            <w:rStyle w:val="Hyperlink"/>
          </w:rPr>
          <w:t>HA 01250.056</w:t>
        </w:r>
      </w:hyperlink>
      <w:r w:rsidRPr="002D38AA">
        <w:t>).</w:t>
      </w:r>
    </w:p>
    <w:p w14:paraId="085F746B" w14:textId="77777777" w:rsidR="002D38AA" w:rsidRPr="002D38AA" w:rsidRDefault="002D38AA" w:rsidP="00A052CC"/>
    <w:p w14:paraId="18AF0FFD" w14:textId="77777777" w:rsidR="00DD7BB4" w:rsidRDefault="00DD7BB4" w:rsidP="002D38AA">
      <w:pPr>
        <w:jc w:val="center"/>
      </w:pPr>
    </w:p>
    <w:sectPr w:rsidR="00DD7BB4">
      <w:footerReference w:type="defaul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A0BD0" w14:textId="77777777" w:rsidR="00E26372" w:rsidRDefault="00E26372" w:rsidP="00F220DA">
      <w:pPr>
        <w:spacing w:after="0" w:line="240" w:lineRule="auto"/>
      </w:pPr>
      <w:r>
        <w:separator/>
      </w:r>
    </w:p>
  </w:endnote>
  <w:endnote w:type="continuationSeparator" w:id="0">
    <w:p w14:paraId="612B3F1B" w14:textId="77777777" w:rsidR="00E26372" w:rsidRDefault="00E26372" w:rsidP="00F22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222735621"/>
  <w:p w14:paraId="43692696" w14:textId="7CCB93A6" w:rsidR="00F220DA" w:rsidRDefault="00F220DA" w:rsidP="00F220DA">
    <w:pPr>
      <w:pStyle w:val="Footer"/>
      <w:tabs>
        <w:tab w:val="clear" w:pos="4680"/>
        <w:tab w:val="clear" w:pos="9360"/>
      </w:tabs>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color w:val="156082" w:themeColor="accent1"/>
      </w:rPr>
      <w:t>1</w:t>
    </w:r>
    <w:r>
      <w:rPr>
        <w:caps/>
        <w:noProof/>
        <w:color w:val="156082" w:themeColor="accent1"/>
      </w:rPr>
      <w:fldChar w:fldCharType="end"/>
    </w:r>
  </w:p>
  <w:bookmarkEnd w:id="0"/>
  <w:p w14:paraId="33FA2A80" w14:textId="77777777" w:rsidR="00F220DA" w:rsidRPr="00175617" w:rsidRDefault="00F220DA" w:rsidP="00F220DA">
    <w:pPr>
      <w:pBdr>
        <w:top w:val="thinThickSmallGap" w:sz="24" w:space="1" w:color="auto"/>
        <w:left w:val="thinThickSmallGap" w:sz="24" w:space="4" w:color="auto"/>
        <w:bottom w:val="thickThinSmallGap" w:sz="24" w:space="1" w:color="auto"/>
        <w:right w:val="thickThinSmallGap" w:sz="24" w:space="4" w:color="auto"/>
      </w:pBdr>
      <w:rPr>
        <w:sz w:val="16"/>
        <w:szCs w:val="16"/>
      </w:rPr>
    </w:pPr>
    <w:r>
      <w:rPr>
        <w:noProof/>
      </w:rPr>
      <w:ptab w:relativeTo="margin" w:alignment="center" w:leader="none"/>
    </w:r>
    <w:r>
      <w:rPr>
        <w:rFonts w:ascii="Calibri" w:hAnsi="Calibri" w:cs="Calibri"/>
        <w:noProof/>
        <w:color w:val="000000"/>
        <w14:ligatures w14:val="none"/>
      </w:rPr>
      <w:drawing>
        <wp:inline distT="0" distB="0" distL="0" distR="0" wp14:anchorId="0AF858B3" wp14:editId="746F755C">
          <wp:extent cx="1940588" cy="981075"/>
          <wp:effectExtent l="0" t="0" r="2540" b="0"/>
          <wp:docPr id="828047970" name="Picture 3"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37131" name="Picture 3" descr="A logo with text on it&#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5255" cy="983434"/>
                  </a:xfrm>
                  <a:prstGeom prst="rect">
                    <a:avLst/>
                  </a:prstGeom>
                  <a:noFill/>
                  <a:ln>
                    <a:noFill/>
                  </a:ln>
                </pic:spPr>
              </pic:pic>
            </a:graphicData>
          </a:graphic>
        </wp:inline>
      </w:drawing>
    </w:r>
    <w:r>
      <w:rPr>
        <w:sz w:val="16"/>
        <w:szCs w:val="16"/>
      </w:rPr>
      <w:t xml:space="preserve">        </w:t>
    </w:r>
    <w:r>
      <w:rPr>
        <w:sz w:val="16"/>
        <w:szCs w:val="16"/>
      </w:rPr>
      <w:br/>
      <w:t xml:space="preserve">         </w:t>
    </w:r>
    <w:r w:rsidRPr="0091560A">
      <w:rPr>
        <w:sz w:val="16"/>
        <w:szCs w:val="16"/>
      </w:rPr>
      <w:t>PO Box 101110 Cape Coral FL 33910-1110   Phone: 239.945.0808   Phone: 800.814.0808   Fax: 239.677.2687   AvardLaw.com</w:t>
    </w:r>
  </w:p>
  <w:p w14:paraId="25276F48" w14:textId="7E6827CB" w:rsidR="00F220DA" w:rsidRDefault="00F220DA">
    <w:pPr>
      <w:pStyle w:val="Footer"/>
    </w:pPr>
  </w:p>
  <w:p w14:paraId="11952E26" w14:textId="77777777" w:rsidR="00F220DA" w:rsidRDefault="00F220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7C7AC" w14:textId="77777777" w:rsidR="00E26372" w:rsidRDefault="00E26372" w:rsidP="00F220DA">
      <w:pPr>
        <w:spacing w:after="0" w:line="240" w:lineRule="auto"/>
      </w:pPr>
      <w:r>
        <w:separator/>
      </w:r>
    </w:p>
  </w:footnote>
  <w:footnote w:type="continuationSeparator" w:id="0">
    <w:p w14:paraId="2021E116" w14:textId="77777777" w:rsidR="00E26372" w:rsidRDefault="00E26372" w:rsidP="00F220DA">
      <w:pPr>
        <w:spacing w:after="0" w:line="240" w:lineRule="auto"/>
      </w:pPr>
      <w:r>
        <w:continuationSeparator/>
      </w:r>
    </w:p>
  </w:footnote>
  <w:footnote w:id="1">
    <w:p w14:paraId="4BC4E3B9" w14:textId="2E3A80AA" w:rsidR="00194D35" w:rsidRPr="00270F9E" w:rsidRDefault="00194D35">
      <w:pPr>
        <w:pStyle w:val="FootnoteText"/>
      </w:pPr>
      <w:r>
        <w:rPr>
          <w:rStyle w:val="FootnoteReference"/>
        </w:rPr>
        <w:footnoteRef/>
      </w:r>
      <w:r>
        <w:t xml:space="preserve"> </w:t>
      </w:r>
      <w:r w:rsidR="00270F9E">
        <w:t xml:space="preserve">The </w:t>
      </w:r>
      <w:proofErr w:type="spellStart"/>
      <w:r w:rsidR="00270F9E">
        <w:rPr>
          <w:i/>
          <w:iCs/>
        </w:rPr>
        <w:t>Nacif</w:t>
      </w:r>
      <w:r w:rsidR="00270F9E">
        <w:t>case</w:t>
      </w:r>
      <w:proofErr w:type="spellEnd"/>
      <w:r w:rsidR="00270F9E">
        <w:t xml:space="preserve"> is in the materials.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AA"/>
    <w:rsid w:val="00015239"/>
    <w:rsid w:val="00023DF0"/>
    <w:rsid w:val="00091E4A"/>
    <w:rsid w:val="00120853"/>
    <w:rsid w:val="00152310"/>
    <w:rsid w:val="00171300"/>
    <w:rsid w:val="00194D35"/>
    <w:rsid w:val="001F5F6A"/>
    <w:rsid w:val="002420A5"/>
    <w:rsid w:val="00270F9E"/>
    <w:rsid w:val="002A336D"/>
    <w:rsid w:val="002D38AA"/>
    <w:rsid w:val="00346DAD"/>
    <w:rsid w:val="00372EFF"/>
    <w:rsid w:val="00440F8D"/>
    <w:rsid w:val="00487DC0"/>
    <w:rsid w:val="004D6AC7"/>
    <w:rsid w:val="005209E0"/>
    <w:rsid w:val="00526C9B"/>
    <w:rsid w:val="005E33CF"/>
    <w:rsid w:val="006002C8"/>
    <w:rsid w:val="00626CBE"/>
    <w:rsid w:val="006308C2"/>
    <w:rsid w:val="00680ED6"/>
    <w:rsid w:val="00697F5A"/>
    <w:rsid w:val="006A65C9"/>
    <w:rsid w:val="007054F6"/>
    <w:rsid w:val="00731562"/>
    <w:rsid w:val="0076257D"/>
    <w:rsid w:val="007747C7"/>
    <w:rsid w:val="007E7E94"/>
    <w:rsid w:val="007F616F"/>
    <w:rsid w:val="008220CE"/>
    <w:rsid w:val="008C620E"/>
    <w:rsid w:val="009202F0"/>
    <w:rsid w:val="00990408"/>
    <w:rsid w:val="009E4E14"/>
    <w:rsid w:val="00A052CC"/>
    <w:rsid w:val="00A2383D"/>
    <w:rsid w:val="00A35AB6"/>
    <w:rsid w:val="00A67831"/>
    <w:rsid w:val="00AB59CE"/>
    <w:rsid w:val="00B37A1B"/>
    <w:rsid w:val="00BA112C"/>
    <w:rsid w:val="00BB1377"/>
    <w:rsid w:val="00BC5C1D"/>
    <w:rsid w:val="00BE11AE"/>
    <w:rsid w:val="00BE6E76"/>
    <w:rsid w:val="00C16CF6"/>
    <w:rsid w:val="00C84F1D"/>
    <w:rsid w:val="00CB5E1A"/>
    <w:rsid w:val="00D543BC"/>
    <w:rsid w:val="00D74DEB"/>
    <w:rsid w:val="00DC5A89"/>
    <w:rsid w:val="00DD7BB4"/>
    <w:rsid w:val="00E26372"/>
    <w:rsid w:val="00E73092"/>
    <w:rsid w:val="00F0421A"/>
    <w:rsid w:val="00F220DA"/>
    <w:rsid w:val="00F67967"/>
    <w:rsid w:val="00FA2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D338B"/>
  <w15:chartTrackingRefBased/>
  <w15:docId w15:val="{4C3A9E2F-AAE6-4028-9BA6-BAE04D586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8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8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8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8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8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8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8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8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8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8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8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8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8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8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8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8AA"/>
    <w:rPr>
      <w:rFonts w:eastAsiaTheme="majorEastAsia" w:cstheme="majorBidi"/>
      <w:color w:val="272727" w:themeColor="text1" w:themeTint="D8"/>
    </w:rPr>
  </w:style>
  <w:style w:type="paragraph" w:styleId="Title">
    <w:name w:val="Title"/>
    <w:basedOn w:val="Normal"/>
    <w:next w:val="Normal"/>
    <w:link w:val="TitleChar"/>
    <w:uiPriority w:val="10"/>
    <w:qFormat/>
    <w:rsid w:val="002D3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8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8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8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8AA"/>
    <w:pPr>
      <w:spacing w:before="160"/>
      <w:jc w:val="center"/>
    </w:pPr>
    <w:rPr>
      <w:i/>
      <w:iCs/>
      <w:color w:val="404040" w:themeColor="text1" w:themeTint="BF"/>
    </w:rPr>
  </w:style>
  <w:style w:type="character" w:customStyle="1" w:styleId="QuoteChar">
    <w:name w:val="Quote Char"/>
    <w:basedOn w:val="DefaultParagraphFont"/>
    <w:link w:val="Quote"/>
    <w:uiPriority w:val="29"/>
    <w:rsid w:val="002D38AA"/>
    <w:rPr>
      <w:i/>
      <w:iCs/>
      <w:color w:val="404040" w:themeColor="text1" w:themeTint="BF"/>
    </w:rPr>
  </w:style>
  <w:style w:type="paragraph" w:styleId="ListParagraph">
    <w:name w:val="List Paragraph"/>
    <w:basedOn w:val="Normal"/>
    <w:uiPriority w:val="34"/>
    <w:qFormat/>
    <w:rsid w:val="002D38AA"/>
    <w:pPr>
      <w:ind w:left="720"/>
      <w:contextualSpacing/>
    </w:pPr>
  </w:style>
  <w:style w:type="character" w:styleId="IntenseEmphasis">
    <w:name w:val="Intense Emphasis"/>
    <w:basedOn w:val="DefaultParagraphFont"/>
    <w:uiPriority w:val="21"/>
    <w:qFormat/>
    <w:rsid w:val="002D38AA"/>
    <w:rPr>
      <w:i/>
      <w:iCs/>
      <w:color w:val="0F4761" w:themeColor="accent1" w:themeShade="BF"/>
    </w:rPr>
  </w:style>
  <w:style w:type="paragraph" w:styleId="IntenseQuote">
    <w:name w:val="Intense Quote"/>
    <w:basedOn w:val="Normal"/>
    <w:next w:val="Normal"/>
    <w:link w:val="IntenseQuoteChar"/>
    <w:uiPriority w:val="30"/>
    <w:qFormat/>
    <w:rsid w:val="002D3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8AA"/>
    <w:rPr>
      <w:i/>
      <w:iCs/>
      <w:color w:val="0F4761" w:themeColor="accent1" w:themeShade="BF"/>
    </w:rPr>
  </w:style>
  <w:style w:type="character" w:styleId="IntenseReference">
    <w:name w:val="Intense Reference"/>
    <w:basedOn w:val="DefaultParagraphFont"/>
    <w:uiPriority w:val="32"/>
    <w:qFormat/>
    <w:rsid w:val="002D38AA"/>
    <w:rPr>
      <w:b/>
      <w:bCs/>
      <w:smallCaps/>
      <w:color w:val="0F4761" w:themeColor="accent1" w:themeShade="BF"/>
      <w:spacing w:val="5"/>
    </w:rPr>
  </w:style>
  <w:style w:type="character" w:styleId="Hyperlink">
    <w:name w:val="Hyperlink"/>
    <w:basedOn w:val="DefaultParagraphFont"/>
    <w:uiPriority w:val="99"/>
    <w:unhideWhenUsed/>
    <w:rsid w:val="002D38AA"/>
    <w:rPr>
      <w:color w:val="467886" w:themeColor="hyperlink"/>
      <w:u w:val="single"/>
    </w:rPr>
  </w:style>
  <w:style w:type="character" w:styleId="UnresolvedMention">
    <w:name w:val="Unresolved Mention"/>
    <w:basedOn w:val="DefaultParagraphFont"/>
    <w:uiPriority w:val="99"/>
    <w:semiHidden/>
    <w:unhideWhenUsed/>
    <w:rsid w:val="002D38AA"/>
    <w:rPr>
      <w:color w:val="605E5C"/>
      <w:shd w:val="clear" w:color="auto" w:fill="E1DFDD"/>
    </w:rPr>
  </w:style>
  <w:style w:type="character" w:styleId="FollowedHyperlink">
    <w:name w:val="FollowedHyperlink"/>
    <w:basedOn w:val="DefaultParagraphFont"/>
    <w:uiPriority w:val="99"/>
    <w:semiHidden/>
    <w:unhideWhenUsed/>
    <w:rsid w:val="00440F8D"/>
    <w:rPr>
      <w:color w:val="96607D" w:themeColor="followedHyperlink"/>
      <w:u w:val="single"/>
    </w:rPr>
  </w:style>
  <w:style w:type="paragraph" w:styleId="Header">
    <w:name w:val="header"/>
    <w:basedOn w:val="Normal"/>
    <w:link w:val="HeaderChar"/>
    <w:uiPriority w:val="99"/>
    <w:unhideWhenUsed/>
    <w:rsid w:val="00F220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0DA"/>
  </w:style>
  <w:style w:type="paragraph" w:styleId="Footer">
    <w:name w:val="footer"/>
    <w:basedOn w:val="Normal"/>
    <w:link w:val="FooterChar"/>
    <w:uiPriority w:val="99"/>
    <w:unhideWhenUsed/>
    <w:rsid w:val="00F220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0DA"/>
  </w:style>
  <w:style w:type="paragraph" w:styleId="FootnoteText">
    <w:name w:val="footnote text"/>
    <w:basedOn w:val="Normal"/>
    <w:link w:val="FootnoteTextChar"/>
    <w:uiPriority w:val="99"/>
    <w:semiHidden/>
    <w:unhideWhenUsed/>
    <w:rsid w:val="00194D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4D35"/>
    <w:rPr>
      <w:sz w:val="20"/>
      <w:szCs w:val="20"/>
    </w:rPr>
  </w:style>
  <w:style w:type="character" w:styleId="FootnoteReference">
    <w:name w:val="footnote reference"/>
    <w:basedOn w:val="DefaultParagraphFont"/>
    <w:uiPriority w:val="99"/>
    <w:semiHidden/>
    <w:unhideWhenUsed/>
    <w:rsid w:val="00194D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004235">
      <w:bodyDiv w:val="1"/>
      <w:marLeft w:val="0"/>
      <w:marRight w:val="0"/>
      <w:marTop w:val="0"/>
      <w:marBottom w:val="0"/>
      <w:divBdr>
        <w:top w:val="none" w:sz="0" w:space="0" w:color="auto"/>
        <w:left w:val="none" w:sz="0" w:space="0" w:color="auto"/>
        <w:bottom w:val="none" w:sz="0" w:space="0" w:color="auto"/>
        <w:right w:val="none" w:sz="0" w:space="0" w:color="auto"/>
      </w:divBdr>
    </w:div>
    <w:div w:id="94176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vance.lexis.com/document?pddocfullpath=%2Fshared%2Fdocument%2Fcases%2Furn%3AcontentItem%3A5C6N-8HJ1-F04F-F07T-00000-00&amp;pdcontentcomponentid=6414&amp;ecomp=hcgmk&amp;earg=sr1&amp;crid=5f8c6a4d-4c75-45c1-aad0-d9e463c8361f" TargetMode="External"/><Relationship Id="rId18" Type="http://schemas.openxmlformats.org/officeDocument/2006/relationships/hyperlink" Target="https://advance.lexis.com/document?pddocfullpath=%2Fshared%2Fdocument%2Fcases%2Furn%3AcontentItem%3A6HY1-HNX3-S8CW-R20P-00000-00&amp;pdcontentcomponentid=6421&amp;ecomp=hcgmk&amp;earg=sr1&amp;crid=9557c777-f598-4130-8666-70cd80c1670e" TargetMode="External"/><Relationship Id="rId26" Type="http://schemas.openxmlformats.org/officeDocument/2006/relationships/hyperlink" Target="https://www.ssa.gov/OP_Home/cfr20/404/404-1545.htm" TargetMode="External"/><Relationship Id="rId39" Type="http://schemas.openxmlformats.org/officeDocument/2006/relationships/hyperlink" Target="https://www.ssa.gov/OP_Home/cfr20/416/416-0945.htm" TargetMode="External"/><Relationship Id="rId21" Type="http://schemas.openxmlformats.org/officeDocument/2006/relationships/hyperlink" Target="https://www.ssa.gov/OP_Home/cfr20/416/416-1435.htm" TargetMode="External"/><Relationship Id="rId34" Type="http://schemas.openxmlformats.org/officeDocument/2006/relationships/hyperlink" Target="https://www.ssa.gov/OP_Home/cfr20/404/404-0935.htm" TargetMode="External"/><Relationship Id="rId42" Type="http://schemas.openxmlformats.org/officeDocument/2006/relationships/hyperlink" Target="https://advance.lexis.com/document?pddocfullpath=%2fshared%2fdocument%2fcases%2furn%3acontentItem%3a63PV-RFS1-JKHB-61DV-00000-00&amp;pdsourcegroupingtype=&amp;pdalertemail=False&amp;pdcontentcomponentid=6421&amp;pdisurlapi=true&amp;crid=e504043e-eaf7-41c5-bd9e-cf3aa9689e1b&amp;prid=ebc5e0ae-50c2-4cdc-b727-5a85d8d36f41&amp;srid=9f443825-3c80-40ae-8fcf-92f943e995af" TargetMode="External"/><Relationship Id="rId47" Type="http://schemas.openxmlformats.org/officeDocument/2006/relationships/hyperlink" Target="https://advance.lexis.com/document?pddocfullpath=%2fshared%2fdocument%2fcases%2furn%3acontentItem%3a63PV-RFS1-JKHB-61DV-00000-00&amp;pdsourcegroupingtype=&amp;pdalertemail=False&amp;pdcontentcomponentid=6421&amp;pdisurlapi=true&amp;crid=e504043e-eaf7-41c5-bd9e-cf3aa9689e1b&amp;prid=ebc5e0ae-50c2-4cdc-b727-5a85d8d36f41&amp;srid=9f443825-3c80-40ae-8fcf-92f943e995af" TargetMode="External"/><Relationship Id="rId50" Type="http://schemas.openxmlformats.org/officeDocument/2006/relationships/hyperlink" Target="https://advance.lexis.com/document?pddocfullpath=%2Fshared%2Fdocument%2Fcases%2Furn%3AcontentItem%3A5S00-XD91-JGBH-B2GV-00000-00&amp;pdcontentcomponentid=6416&amp;ecomp=hcgmk&amp;earg=sr1&amp;crid=c723fc66-6640-42ae-bff2-f4927a80f585" TargetMode="External"/><Relationship Id="rId55" Type="http://schemas.openxmlformats.org/officeDocument/2006/relationships/footer" Target="footer1.xml"/><Relationship Id="rId7" Type="http://schemas.openxmlformats.org/officeDocument/2006/relationships/hyperlink" Target="https://advance.lexis.com/api/document/collection/cases/id/6HY1-HNX3-S8CW-R20P-00000-00?cite=2026%20U.S.%20Dist.%20LEXIS%2033127&amp;context=1000516" TargetMode="External"/><Relationship Id="rId2" Type="http://schemas.openxmlformats.org/officeDocument/2006/relationships/styles" Target="styles.xml"/><Relationship Id="rId16" Type="http://schemas.openxmlformats.org/officeDocument/2006/relationships/hyperlink" Target="https://www.ssa.gov/OP_Home/cfr20/416/416-1435.htm" TargetMode="External"/><Relationship Id="rId29" Type="http://schemas.openxmlformats.org/officeDocument/2006/relationships/hyperlink" Target="https://advance.lexis.com/document?pddocfullpath=%2fshared%2fdocument%2fcases%2furn%3acontentItem%3a63PV-RFS1-JKHB-61DV-00000-00&amp;pdsourcegroupingtype=&amp;pdalertemail=False&amp;pdcontentcomponentid=6421&amp;pdisurlapi=true&amp;crid=e504043e-eaf7-41c5-bd9e-cf3aa9689e1b&amp;prid=ebc5e0ae-50c2-4cdc-b727-5a85d8d36f41&amp;srid=9f443825-3c80-40ae-8fcf-92f943e995af" TargetMode="External"/><Relationship Id="rId11" Type="http://schemas.openxmlformats.org/officeDocument/2006/relationships/hyperlink" Target="https://advance.lexis.com/document?pddocfullpath=%2Fshared%2Fdocument%2Fcases%2Furn%3AcontentItem%3A4TJW-VFC0-TXFR-J3CX-00000-00&amp;pdcontentcomponentid=6412&amp;ecomp=hcgmk&amp;earg=sr1&amp;crid=bb5a034e-5b2a-40b6-b198-a403c33fb1d9" TargetMode="External"/><Relationship Id="rId24" Type="http://schemas.openxmlformats.org/officeDocument/2006/relationships/hyperlink" Target="https://www.ssa.gov/OP_Home/rulings/di/01/SSR96-09-di-01.html" TargetMode="External"/><Relationship Id="rId32" Type="http://schemas.openxmlformats.org/officeDocument/2006/relationships/hyperlink" Target="https://www.ssa.gov/OP_Home/cfr20/404/404-0935.htm" TargetMode="External"/><Relationship Id="rId37" Type="http://schemas.openxmlformats.org/officeDocument/2006/relationships/hyperlink" Target="https://advance.lexis.com/document?pddocfullpath=%2Fshared%2Fdocument%2Fcases%2Furn%3AcontentItem%3A629D-4KD1-JXG3-X04J-00000-00&amp;pdcontentcomponentid=6421&amp;ecomp=hcgmk&amp;earg=sr1&amp;crid=2b9e3449-3c5b-4fd4-bcb4-3efca445fd66" TargetMode="External"/><Relationship Id="rId40" Type="http://schemas.openxmlformats.org/officeDocument/2006/relationships/hyperlink" Target="https://advance.lexis.com/document?pddocfullpath=%2fshared%2fdocument%2fcases%2furn%3acontentItem%3a63PV-RFS1-JKHB-61DV-00000-00&amp;pdsourcegroupingtype=&amp;pdalertemail=False&amp;pdcontentcomponentid=6421&amp;pdisurlapi=true&amp;crid=e504043e-eaf7-41c5-bd9e-cf3aa9689e1b&amp;prid=ebc5e0ae-50c2-4cdc-b727-5a85d8d36f41&amp;srid=9f443825-3c80-40ae-8fcf-92f943e995af" TargetMode="External"/><Relationship Id="rId45" Type="http://schemas.openxmlformats.org/officeDocument/2006/relationships/hyperlink" Target="https://advance.lexis.com/document?pddocfullpath=%2Fshared%2Fdocument%2Fcases%2Furn%3AcontentItem%3A629D-4KD1-JXG3-X04J-00000-00&amp;pdcontentcomponentid=6421&amp;ecomp=hcgmk&amp;earg=sr1&amp;crid=b59541bf-0c09-47b9-b460-7920a0d469a4" TargetMode="External"/><Relationship Id="rId53" Type="http://schemas.openxmlformats.org/officeDocument/2006/relationships/hyperlink" Target="https://secure.ssa.gov/apps10/poms.nsf/lnx/2501250057" TargetMode="External"/><Relationship Id="rId5" Type="http://schemas.openxmlformats.org/officeDocument/2006/relationships/footnotes" Target="footnotes.xml"/><Relationship Id="rId19" Type="http://schemas.openxmlformats.org/officeDocument/2006/relationships/hyperlink" Target="https://advance.lexis.com/api/document/collection/cases/id/63PV-RFS1-JKHB-61DV-00000-00?cite=2021%20U.S.%20Dist.%20LEXIS%20184125&amp;context=1000516" TargetMode="External"/><Relationship Id="rId4" Type="http://schemas.openxmlformats.org/officeDocument/2006/relationships/webSettings" Target="webSettings.xml"/><Relationship Id="rId9" Type="http://schemas.openxmlformats.org/officeDocument/2006/relationships/hyperlink" Target="https://advance.lexis.com/document?pddocfullpath=%2Fshared%2Fdocument%2Fcases%2Furn%3AcontentItem%3A5962-T8C1-F04C-R01G-00000-00&amp;pdcontentcomponentid=6418&amp;ecomp=hcgmk&amp;earg=sr1&amp;crid=fd624ebd-c724-444e-b0ca-0cca4709d1c7" TargetMode="External"/><Relationship Id="rId14" Type="http://schemas.openxmlformats.org/officeDocument/2006/relationships/hyperlink" Target="https://advance.lexis.com/document?pddocfullpath=%2Fshared%2Fdocument%2Fcases%2Furn%3AcontentItem%3A52G1-JP71-652J-Y03F-00000-00&amp;pdcontentcomponentid=6412&amp;ecomp=hcgmk&amp;earg=sr1&amp;crid=90dcf5d1-93fa-4523-a857-f8295c182fa8" TargetMode="External"/><Relationship Id="rId22" Type="http://schemas.openxmlformats.org/officeDocument/2006/relationships/hyperlink" Target="https://www.ssa.gov/OP_Home/cfr20/404/404-1545.htm" TargetMode="External"/><Relationship Id="rId27" Type="http://schemas.openxmlformats.org/officeDocument/2006/relationships/hyperlink" Target="https://www.ssa.gov/OP_Home/cfr20/416/416-0945.htm" TargetMode="External"/><Relationship Id="rId30" Type="http://schemas.openxmlformats.org/officeDocument/2006/relationships/hyperlink" Target="https://secure.ssa.gov/apps10/poms.nsf/lnx/2501260074" TargetMode="External"/><Relationship Id="rId35" Type="http://schemas.openxmlformats.org/officeDocument/2006/relationships/hyperlink" Target="https://www.ssa.gov/OP_Home/cfr20/416/416-1435.htm" TargetMode="External"/><Relationship Id="rId43" Type="http://schemas.openxmlformats.org/officeDocument/2006/relationships/hyperlink" Target="https://advance.lexis.com/document?pddocfullpath=%2Fshared%2Fdocument%2Fcases%2Furn%3AcontentItem%3A3S4X-H500-0039-P4YM-00000-00&amp;pdcontentcomponentid=6395&amp;ecomp=hcgmk&amp;earg=sr1&amp;crid=708053b7-ab87-4625-a83c-48290b6ffeac" TargetMode="External"/><Relationship Id="rId48" Type="http://schemas.openxmlformats.org/officeDocument/2006/relationships/hyperlink" Target="https://advance.lexis.com/document?pddocfullpath=%2Fshared%2Fdocument%2Fcases%2Furn%3AcontentItem%3A5SMF-P1F1-FCSB-S2RS-00000-00&amp;pdcontentcomponentid=6421&amp;ecomp=hcgmk&amp;earg=sr1&amp;crid=e2e7a23f-497e-4938-9c4e-778d0efe32fd" TargetMode="External"/><Relationship Id="rId56" Type="http://schemas.openxmlformats.org/officeDocument/2006/relationships/fontTable" Target="fontTable.xml"/><Relationship Id="rId8" Type="http://schemas.openxmlformats.org/officeDocument/2006/relationships/hyperlink" Target="https://advance.lexis.com/document/?pdmfid=1000516&amp;crid=4f22fc28-91b2-4808-acbe-578cd74c1098&amp;pddocfullpath=%2Fshared%2Fdocument%2Fcases%2Furn%3AcontentItem%3A450K-T200-0038-X21T-00000-00&amp;pdcontentcomponentid=6391&amp;pdshepid=urn%3AcontentItem%3A7XWN-PCR1-2NSD-R1JV-00000-00&amp;pdteaserkey=sr0&amp;pditab=allpods&amp;ecomp=hcgmk&amp;earg=sr0&amp;prid=fe5a34b7-1ef7-477c-8d47-943451b9c622" TargetMode="External"/><Relationship Id="rId51" Type="http://schemas.openxmlformats.org/officeDocument/2006/relationships/hyperlink" Target="https://advance.lexis.com/document?pddocfullpath=%2Fshared%2Fdocument%2Fcases%2Furn%3AcontentItem%3A5VW1-RWX1-DY33-B4NB-00000-00&amp;pdcontentcomponentid=6416&amp;ecomp=hcgmk&amp;earg=sr1&amp;crid=4aca899a-707d-4d20-a0f7-347a9928dc0b" TargetMode="External"/><Relationship Id="rId3" Type="http://schemas.openxmlformats.org/officeDocument/2006/relationships/settings" Target="settings.xml"/><Relationship Id="rId12" Type="http://schemas.openxmlformats.org/officeDocument/2006/relationships/hyperlink" Target="https://advance.lexis.com/document?pddocfullpath=%2Fshared%2Fdocument%2Fcases%2Furn%3AcontentItem%3A4V11-T670-TXFR-J1TW-00000-00&amp;pdcontentcomponentid=6412&amp;ecomp=hcgmk&amp;earg=sr1&amp;crid=6061d71c-579a-4fb9-8510-5739a80da452" TargetMode="External"/><Relationship Id="rId17" Type="http://schemas.openxmlformats.org/officeDocument/2006/relationships/hyperlink" Target="https://secure.ssa.gov/apps10/poms.nsf/lnx/2501270020" TargetMode="External"/><Relationship Id="rId25" Type="http://schemas.openxmlformats.org/officeDocument/2006/relationships/hyperlink" Target="https://advance.lexis.com/document?pddocfullpath=%2fshared%2fdocument%2fcases%2furn%3acontentItem%3a63PV-RFS1-JKHB-61DV-00000-00&amp;pdsourcegroupingtype=&amp;pdalertemail=False&amp;pdcontentcomponentid=6421&amp;pdisurlapi=true&amp;crid=e504043e-eaf7-41c5-bd9e-cf3aa9689e1b&amp;prid=ebc5e0ae-50c2-4cdc-b727-5a85d8d36f41&amp;srid=9f443825-3c80-40ae-8fcf-92f943e995af" TargetMode="External"/><Relationship Id="rId33" Type="http://schemas.openxmlformats.org/officeDocument/2006/relationships/hyperlink" Target="https://www.ssa.gov/OP_Home/cfr20/416/416-1435.htm" TargetMode="External"/><Relationship Id="rId38" Type="http://schemas.openxmlformats.org/officeDocument/2006/relationships/hyperlink" Target="https://www.ssa.gov/OP_Home/cfr20/404/404-1545.htm" TargetMode="External"/><Relationship Id="rId46" Type="http://schemas.openxmlformats.org/officeDocument/2006/relationships/hyperlink" Target="https://advance.lexis.com/document?pddocfullpath=%2Fshared%2Fdocument%2Fcases%2Furn%3AcontentItem%3A5PF4-SG81-F04D-154R-00000-00&amp;pdcontentcomponentid=6421&amp;ecomp=hcgmk&amp;earg=sr1&amp;crid=ff8b7dee-beb4-4e51-85dc-abdc19add516" TargetMode="External"/><Relationship Id="rId20" Type="http://schemas.openxmlformats.org/officeDocument/2006/relationships/hyperlink" Target="https://www.ssa.gov/OP_Home/cfr20/404/404-0935.htm" TargetMode="External"/><Relationship Id="rId41" Type="http://schemas.openxmlformats.org/officeDocument/2006/relationships/hyperlink" Target="https://advance.lexis.com/document?pddocfullpath=%2Fshared%2Fdocument%2Fcases%2Furn%3AcontentItem%3A5MNG-9R71-F04D-149N-00000-00&amp;pdcontentcomponentid=6421&amp;ecomp=hcgmk&amp;earg=sr1&amp;crid=d4253d93-b17a-4153-ab04-7ec0f447a94f" TargetMode="External"/><Relationship Id="rId54" Type="http://schemas.openxmlformats.org/officeDocument/2006/relationships/hyperlink" Target="https://secure.ssa.gov/apps10/poms.nsf/lnx/2501250056"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www.ssa.gov/OP_Home/cfr20/404/404-0935.htm" TargetMode="External"/><Relationship Id="rId23" Type="http://schemas.openxmlformats.org/officeDocument/2006/relationships/hyperlink" Target="https://www.ssa.gov/OP_Home/cfr20/416/416-0945.htm" TargetMode="External"/><Relationship Id="rId28" Type="http://schemas.openxmlformats.org/officeDocument/2006/relationships/hyperlink" Target="https://www.ssa.gov/OP_Home/rulings/di/01/SSR96-09-di-01.html" TargetMode="External"/><Relationship Id="rId36" Type="http://schemas.openxmlformats.org/officeDocument/2006/relationships/hyperlink" Target="https://www.ssa.gov/OP_Home/cfr20/416/416-1435.htm" TargetMode="External"/><Relationship Id="rId49" Type="http://schemas.openxmlformats.org/officeDocument/2006/relationships/hyperlink" Target="https://advance.lexis.com/document?pddocfullpath=%2Fshared%2Fdocument%2Fcases%2Furn%3AcontentItem%3A5SBW-BG21-FFMK-M535-00000-00&amp;pdcontentcomponentid=6416&amp;ecomp=hcgmk&amp;earg=sr1&amp;crid=4e97e6d9-2e36-4868-a656-bdd2e9d33124" TargetMode="External"/><Relationship Id="rId57" Type="http://schemas.openxmlformats.org/officeDocument/2006/relationships/theme" Target="theme/theme1.xml"/><Relationship Id="rId10" Type="http://schemas.openxmlformats.org/officeDocument/2006/relationships/hyperlink" Target="https://advance.lexis.com/document?pddocfullpath=%2Fshared%2Fdocument%2Fcases%2Furn%3AcontentItem%3A58DM-VJ41-F04C-T0DH-00000-00&amp;pdcontentcomponentid=6419&amp;ecomp=hcgmk&amp;earg=sr1&amp;crid=0083d5d8-b661-4140-8b63-5c80cab22c59" TargetMode="External"/><Relationship Id="rId31" Type="http://schemas.openxmlformats.org/officeDocument/2006/relationships/hyperlink" Target="https://advance.lexis.com/document?pddocfullpath=%2fshared%2fdocument%2fcases%2furn%3acontentItem%3a63PV-RFS1-JKHB-61DV-00000-00&amp;pdsourcegroupingtype=&amp;pdalertemail=False&amp;pdcontentcomponentid=6421&amp;pdisurlapi=true&amp;crid=e504043e-eaf7-41c5-bd9e-cf3aa9689e1b&amp;prid=ebc5e0ae-50c2-4cdc-b727-5a85d8d36f41&amp;srid=9f443825-3c80-40ae-8fcf-92f943e995af" TargetMode="External"/><Relationship Id="rId44" Type="http://schemas.openxmlformats.org/officeDocument/2006/relationships/hyperlink" Target="https://advance.lexis.com/document?pddocfullpath=%2Fshared%2Fdocument%2Fcases%2Furn%3AcontentItem%3A5MNG-9R71-F04D-149N-00000-00&amp;pdcontentcomponentid=6421&amp;ecomp=hcgmk&amp;earg=sr1&amp;crid=5e74f9e2-e749-4470-ab84-906f4d0c9d3f" TargetMode="External"/><Relationship Id="rId52" Type="http://schemas.openxmlformats.org/officeDocument/2006/relationships/hyperlink" Target="https://advance.lexis.com/document/searchwithindocument/?pdmfid=1000516&amp;crid=9c8455df-4f0e-4eb8-8bda-571d4a994a2e&amp;pdsearchwithinterm=ORS+occupational+requirements+surveyy&amp;pdworkfolderlocatorid=NOT_SAVED_IN_WORKFOLDER&amp;ecomp=grsyk&amp;prid=21c6093a-cab6-4c44-8055-a7571efc80b0" TargetMode="External"/></Relationships>
</file>

<file path=word/_rels/footer1.xml.rels><?xml version="1.0" encoding="UTF-8" standalone="yes"?>
<Relationships xmlns="http://schemas.openxmlformats.org/package/2006/relationships"><Relationship Id="rId2" Type="http://schemas.openxmlformats.org/officeDocument/2006/relationships/image" Target="cid:image001.png@01DCA4B9.B258527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D1256-881B-457F-9C46-D73555847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3082</Words>
  <Characters>16613</Characters>
  <Application>Microsoft Office Word</Application>
  <DocSecurity>0</DocSecurity>
  <Lines>240</Lines>
  <Paragraphs>31</Paragraphs>
  <ScaleCrop>false</ScaleCrop>
  <Company/>
  <LinksUpToDate>false</LinksUpToDate>
  <CharactersWithSpaces>19664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D</dc:creator>
  <cp:keywords/>
  <dc:description/>
  <cp:lastModifiedBy>Chris C.</cp:lastModifiedBy>
  <cp:revision>12</cp:revision>
  <dcterms:created xsi:type="dcterms:W3CDTF">2026-02-25T14:50:00Z</dcterms:created>
  <dcterms:modified xsi:type="dcterms:W3CDTF">2026-02-26T19:56:00Z</dcterms:modified>
</cp:coreProperties>
</file>